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5EBA" w14:textId="77777777" w:rsidR="004B53CD" w:rsidRPr="004B53CD" w:rsidRDefault="004B53CD" w:rsidP="004B53CD">
      <w:r w:rsidRPr="004B53CD">
        <w:rPr>
          <w:b/>
          <w:bCs/>
        </w:rPr>
        <w:t>Data Protection Policy for Contractors (and Potential Contractors)</w:t>
      </w:r>
      <w:r w:rsidRPr="004B53CD">
        <w:rPr>
          <w:b/>
          <w:bCs/>
        </w:rPr>
        <w:br/>
        <w:t>NOVOL sp. z o.o. (including individuals conducting sole proprietorship) and individuals representing Contractors or Potential Contractors (in particular employees and associates) designated for contact with NOVOL sp. z o.o.</w:t>
      </w:r>
    </w:p>
    <w:p w14:paraId="56CAE900" w14:textId="77777777" w:rsidR="004B53CD" w:rsidRPr="004B53CD" w:rsidRDefault="004B53CD" w:rsidP="004B53CD">
      <w:r w:rsidRPr="004B53CD">
        <w:t>In accordance with Article 13(1) and (2) and Article 14(1) and (2) of Regulation (EU) 2016/679 of the European Parliament and of the Council of 27 April 2016 on the protection of natural persons with regard to the processing of personal data and on the free movement of such data, and repealing Directive 95/46/EC (OJ EU L 119/1 of 04.05.2016), hereinafter referred to as "GDPR", we inform you that:</w:t>
      </w:r>
    </w:p>
    <w:p w14:paraId="41598056" w14:textId="77777777" w:rsidR="004B53CD" w:rsidRPr="004B53CD" w:rsidRDefault="004B53CD" w:rsidP="004B53CD">
      <w:pPr>
        <w:numPr>
          <w:ilvl w:val="0"/>
          <w:numId w:val="1"/>
        </w:numPr>
      </w:pPr>
      <w:r w:rsidRPr="004B53CD">
        <w:t>The controller of your personal data is NOVOL sp. z o.o., with its registered office in Komorniki (62-052), ul. Żabikowska 7/9, entered in the Register of Entrepreneurs of the National Court Register kept by the District Court Poznań Nowe Miasto i Wilda in Poznań, 8th Commercial Division of the National Court Register under KRS number 0000011198, NIP: 7830001311, share capital: PLN 530,860.00, BDO 000024104, holding the status of a large entrepreneur within the meaning of the Act of 8 March 2013 on counteracting excessive delays in commercial transactions (hereinafter: "Controller").</w:t>
      </w:r>
      <w:r w:rsidRPr="004B53CD">
        <w:br/>
        <w:t xml:space="preserve">Contact with the Controller is possible by traditional mail to the registered office address or electronically to the e-mail address: </w:t>
      </w:r>
      <w:hyperlink r:id="rId5" w:tgtFrame="_blank" w:history="1">
        <w:r w:rsidRPr="004B53CD">
          <w:rPr>
            <w:rStyle w:val="Hipercze"/>
          </w:rPr>
          <w:t xml:space="preserve">ochrona.danych@novol.com </w:t>
        </w:r>
      </w:hyperlink>
      <w:r w:rsidRPr="004B53CD">
        <w:t>.</w:t>
      </w:r>
    </w:p>
    <w:p w14:paraId="219D4D31" w14:textId="77777777" w:rsidR="004B53CD" w:rsidRPr="004B53CD" w:rsidRDefault="004B53CD" w:rsidP="004B53CD">
      <w:pPr>
        <w:numPr>
          <w:ilvl w:val="0"/>
          <w:numId w:val="1"/>
        </w:numPr>
      </w:pPr>
      <w:r w:rsidRPr="004B53CD">
        <w:t xml:space="preserve">The Controller has appointed a Data Protection Officer who can be contacted regarding matters relating to the protection of personal data and the exercise of rights related thereto. Contact is possible electronically at: </w:t>
      </w:r>
      <w:hyperlink r:id="rId6" w:tgtFrame="_blank" w:history="1">
        <w:r w:rsidRPr="004B53CD">
          <w:rPr>
            <w:rStyle w:val="Hipercze"/>
          </w:rPr>
          <w:t xml:space="preserve">ochrona.danych@novol.com </w:t>
        </w:r>
      </w:hyperlink>
      <w:r w:rsidRPr="004B53CD">
        <w:t>or by traditional mail to the Controller's registered office address indicated in point 1 above.</w:t>
      </w:r>
    </w:p>
    <w:p w14:paraId="2AA7247F" w14:textId="77777777" w:rsidR="004B53CD" w:rsidRPr="004B53CD" w:rsidRDefault="004B53CD" w:rsidP="004B53CD">
      <w:pPr>
        <w:numPr>
          <w:ilvl w:val="0"/>
          <w:numId w:val="1"/>
        </w:numPr>
      </w:pPr>
      <w:r w:rsidRPr="004B53CD">
        <w:t>The Controller processes personal data concerning the following categories of persons acting as:</w:t>
      </w:r>
      <w:r w:rsidRPr="004B53CD">
        <w:br/>
        <w:t>a. potential contractors of the Controller who are natural persons conducting sole proprietorship, activities in the form of civil law partnerships,</w:t>
      </w:r>
      <w:r w:rsidRPr="004B53CD">
        <w:br/>
        <w:t>b. contractors entering into agreements with the Controller who are natural persons, including those conducting sole proprietorship, activities in the form of civil law partnerships,</w:t>
      </w:r>
      <w:r w:rsidRPr="004B53CD">
        <w:br/>
        <w:t>c. persons representing the entities indicated in a. and b. above, persons representing contractors entering into agreements with the Controller who are institutional entities, and persons representing potential contractors who are institutional entities (e.g., proxies, persons authorized to represent a legal entity),</w:t>
      </w:r>
      <w:r w:rsidRPr="004B53CD">
        <w:br/>
        <w:t>d. persons designated by potential contractors or contractors for contact and for the performance of contracts concluded with the Controller.</w:t>
      </w:r>
    </w:p>
    <w:p w14:paraId="692FF1DA" w14:textId="77777777" w:rsidR="004B53CD" w:rsidRPr="004B53CD" w:rsidRDefault="004B53CD" w:rsidP="004B53CD">
      <w:pPr>
        <w:numPr>
          <w:ilvl w:val="0"/>
          <w:numId w:val="1"/>
        </w:numPr>
      </w:pPr>
      <w:r w:rsidRPr="004B53CD">
        <w:t>Your personal data, depending on your role, may be processed for the following purposes and on the following legal bases:</w:t>
      </w:r>
      <w:r w:rsidRPr="004B53CD">
        <w:br/>
        <w:t>a. for the purpose of concluding and performing the subject of the contract – legal basis: Article 6(1)(b) GDPR (for a contractor or potential contractor who is a natural person) or Article 6(1)(f) GDPR (for other categories of persons),</w:t>
      </w:r>
      <w:r w:rsidRPr="004B53CD">
        <w:br/>
        <w:t>b. for the purpose of correspondence, including ongoing communication related to establishing cooperation, concluding and performing the subject of the contract, which constitutes a legitimate interest of the Controller – legal basis: Article 6(1)(f) GDPR,</w:t>
      </w:r>
      <w:r w:rsidRPr="004B53CD">
        <w:br/>
        <w:t>c. for the purpose of defending against claims or pursuing claims, which constitutes the exercise of the Controller's legitimate interests – legal basis: Article 6(1)(f) GDPR,</w:t>
      </w:r>
      <w:r w:rsidRPr="004B53CD">
        <w:br/>
      </w:r>
      <w:r w:rsidRPr="004B53CD">
        <w:lastRenderedPageBreak/>
        <w:t>d. for the purpose of conducting statistical analyses, which constitutes the exercise of the Controller's legitimate interests – legal basis: Article 6(1)(f) GDPR,</w:t>
      </w:r>
      <w:r w:rsidRPr="004B53CD">
        <w:br/>
        <w:t>e. for the purpose of fulfilling legal requirements regarding tax and accounting regulations, in particular as specified in the Act of 11 March 2004 on goods and services tax, the Act of 15 February 1992 on corporate income tax, and the Act of 29 September 1994 on accounting – legal basis: Article 6(1)(c) GDPR,</w:t>
      </w:r>
      <w:r w:rsidRPr="004B53CD">
        <w:br/>
        <w:t>f. for the purpose of storing data for archival purposes, including for the purposes of defending against potential claims and for the purpose of demonstrating the correct fulfillment of legal obligations incumbent on the Controller, which constitutes the exercise of the Controller's legitimate interests – legal basis: Article 6(1)(f) GDPR,</w:t>
      </w:r>
      <w:r w:rsidRPr="004B53CD">
        <w:br/>
        <w:t>g. for the purpose of direct marketing activities consisting of sending commercial information electronically, if you have given separate consent to receive such information at the e-mail address provided – legal basis: Article 6(1)(a) GDPR,</w:t>
      </w:r>
      <w:r w:rsidRPr="004B53CD">
        <w:br/>
        <w:t>h. for the purpose of direct marketing activities consisting of sending commercial information electronically if such sending constitutes the performance of an agreement concluded between you and the Controller (e.g., newsletter service) – legal basis: Article 6(1)(b) GDPR,</w:t>
      </w:r>
      <w:r w:rsidRPr="004B53CD">
        <w:br/>
        <w:t>i. for the purpose of direct marketing activities consisting of communication using telecommunications end devices (e.g., telephone) and automated calling systems, if you have given separate consent to receive such information at the telephone number provided – legal basis: Article 6(1)(a) GDPR,</w:t>
      </w:r>
      <w:r w:rsidRPr="004B53CD">
        <w:br/>
        <w:t>j. for the purpose of other direct marketing activities (e.g., sending greetings by traditional mail), which constitutes the exercise of the Controller's legitimate interests – legal basis: Article 6(1)(f) GDPR.</w:t>
      </w:r>
    </w:p>
    <w:p w14:paraId="608E7080" w14:textId="77777777" w:rsidR="004B53CD" w:rsidRDefault="004B53CD" w:rsidP="004B53CD">
      <w:pPr>
        <w:pStyle w:val="NormalnyWeb"/>
        <w:numPr>
          <w:ilvl w:val="0"/>
          <w:numId w:val="1"/>
        </w:numPr>
      </w:pPr>
      <w:r>
        <w:t>In cases where the Controller obtains your personal data from other persons/entities who are potential contractors or contractors of the Controller in connection with the intention to conclude or perform a contract, the categories of data necessary for the Controller to achieve such objectives are obtained. These may include the following categories of personal data: first name, last name, e-mail address, telephone number, position, place of work, and other data provided by the potential contractor or contractor of the Controller.</w:t>
      </w:r>
    </w:p>
    <w:p w14:paraId="537EDAF4" w14:textId="77777777" w:rsidR="004B53CD" w:rsidRDefault="004B53CD" w:rsidP="004B53CD">
      <w:pPr>
        <w:pStyle w:val="NormalnyWeb"/>
        <w:numPr>
          <w:ilvl w:val="0"/>
          <w:numId w:val="1"/>
        </w:numPr>
      </w:pPr>
      <w:r>
        <w:t>Recipients of your personal data may include providers of technical, IT, and organizational services, legal and financial advisors, and auditors.</w:t>
      </w:r>
    </w:p>
    <w:p w14:paraId="44A2B787" w14:textId="77777777" w:rsidR="004B53CD" w:rsidRDefault="004B53CD" w:rsidP="004B53CD">
      <w:pPr>
        <w:pStyle w:val="NormalnyWeb"/>
        <w:numPr>
          <w:ilvl w:val="0"/>
          <w:numId w:val="1"/>
        </w:numPr>
      </w:pPr>
      <w:r>
        <w:t>The Controller does not, on its own initiative, transfer personal data to third countries (outside the European Economic Area); however, in connection with the Controller's use of certain providers' services, personal data may be transferred by such entities to third countries (outside the European Economic Area). In such cases, the legally required personal data protection measures apply, which may include (depending on the case):</w:t>
      </w:r>
      <w:r>
        <w:br/>
        <w:t>a) transfer of data to an entity located in a third country for which an adequacy decision has been issued, in accordance with Article 45 GDPR,</w:t>
      </w:r>
      <w:r>
        <w:br/>
        <w:t>b) transfer of data based on a data transfer agreement concluded with a third-party entity, based on Standard Contractual Clauses adopted by decision of the European Commission,</w:t>
      </w:r>
      <w:r>
        <w:br/>
        <w:t>c) transfer of data within the framework of binding corporate rules referred to in Article 47 GDPR.</w:t>
      </w:r>
      <w:r>
        <w:br/>
        <w:t xml:space="preserve">The person whose data is transferred in the above-mentioned case has the right to </w:t>
      </w:r>
      <w:r>
        <w:lastRenderedPageBreak/>
        <w:t>obtain a copy of information on the applied safeguards, and for this purpose should contact the Controller at the contact details specified in points 1 and 2 above.</w:t>
      </w:r>
    </w:p>
    <w:p w14:paraId="31679DAC" w14:textId="77777777" w:rsidR="004B53CD" w:rsidRDefault="004B53CD" w:rsidP="004B53CD">
      <w:pPr>
        <w:pStyle w:val="NormalnyWeb"/>
        <w:numPr>
          <w:ilvl w:val="0"/>
          <w:numId w:val="1"/>
        </w:numPr>
      </w:pPr>
      <w:r>
        <w:t>Your personal data will be processed:</w:t>
      </w:r>
      <w:r>
        <w:br/>
        <w:t>a) for the period necessary to conclude and perform the contract and its settlement,</w:t>
      </w:r>
      <w:r>
        <w:br/>
        <w:t>b) for the period of the Controller’s performance of obligations arising from legal regulations, including tax and accounting regulations, in particular related to the storage of documentation in accordance with the requirements of Article 74 of the Accounting Act of 29 September 1994,</w:t>
      </w:r>
      <w:r>
        <w:br/>
        <w:t>c) for the period necessary for the Controller to document before public administration authorities, including the data protection supervisory authority, the correctness of the fulfillment of legal obligations incumbent on the Controller,</w:t>
      </w:r>
      <w:r>
        <w:br/>
        <w:t>d) for archival purposes, including for the purpose of defending against potential claims and where it concerns the history of correspondence and responses to inquiries made – no longer than the period of limitation of claims resulting from the Civil Code and for the period necessary for the Controller to document before public administration authorities the correctness of the fulfillment of legal obligations incumbent on the Controller,</w:t>
      </w:r>
      <w:r>
        <w:br/>
        <w:t>e) for the purpose of pursuing claims or defending against them (if such claims arise) – for the period of limitation of claims resulting from the Civil Code,</w:t>
      </w:r>
      <w:r>
        <w:br/>
        <w:t>f) for the purpose of direct marketing involving the sending of commercial information electronically and marketing communication using telecommunications end devices (e.g., telephone) and automated calling systems, when the Controller’s conduct of such activities is based on your consent – for the duration of such activities by the Controller or until the consent for this purpose is withdrawn or until the data is found to be outdated,</w:t>
      </w:r>
      <w:r>
        <w:br/>
        <w:t>g) for the purpose of correspondence, conducting other direct marketing activities – for the duration of such activities by the Controller or until an objection to the processing of data is raised or until the data is found to be outdated,</w:t>
      </w:r>
      <w:r>
        <w:br/>
        <w:t>h) for the purpose of conducting other marketing activities – for the duration of such activities by the Controller or until an objection to data processing is raised due to your particular situation or until the data is found to be outdated.</w:t>
      </w:r>
    </w:p>
    <w:p w14:paraId="6F188AFA" w14:textId="77777777" w:rsidR="004B53CD" w:rsidRDefault="004B53CD" w:rsidP="004B53CD">
      <w:pPr>
        <w:pStyle w:val="NormalnyWeb"/>
        <w:numPr>
          <w:ilvl w:val="0"/>
          <w:numId w:val="1"/>
        </w:numPr>
      </w:pPr>
      <w:r>
        <w:t>You have the right to request from the Controller access to your data, the right to rectify, erase, restrict processing, and the right to data portability, under the principles and in the cases provided for by the GDPR.</w:t>
      </w:r>
    </w:p>
    <w:p w14:paraId="1B987B34" w14:textId="77777777" w:rsidR="004B53CD" w:rsidRDefault="004B53CD" w:rsidP="004B53CD">
      <w:pPr>
        <w:pStyle w:val="NormalnyWeb"/>
        <w:numPr>
          <w:ilvl w:val="0"/>
          <w:numId w:val="1"/>
        </w:numPr>
      </w:pPr>
      <w:r>
        <w:t>In cases where the legal basis for the processing of personal data is the Controller’s legitimate interests (as mentioned above), you have the right, under the principles and in the cases provided for by the GDPR, to object to the processing of data due to your particular situation, and in the case of processing data for direct marketing purposes, you have the right to object at any time to the processing of data.</w:t>
      </w:r>
    </w:p>
    <w:p w14:paraId="43BB4066" w14:textId="77777777" w:rsidR="004B53CD" w:rsidRDefault="004B53CD" w:rsidP="004B53CD">
      <w:pPr>
        <w:pStyle w:val="NormalnyWeb"/>
        <w:numPr>
          <w:ilvl w:val="0"/>
          <w:numId w:val="1"/>
        </w:numPr>
      </w:pPr>
      <w:r>
        <w:t>In cases where the legal basis for the processing of personal data is consent, under the principles and in the cases provided for by the GDPR, you have the right to withdraw consent at any time without affecting the lawfulness of processing based on consent before its withdrawal.</w:t>
      </w:r>
    </w:p>
    <w:p w14:paraId="01A25FFA" w14:textId="77777777" w:rsidR="004B53CD" w:rsidRDefault="004B53CD" w:rsidP="004B53CD">
      <w:pPr>
        <w:pStyle w:val="NormalnyWeb"/>
        <w:numPr>
          <w:ilvl w:val="0"/>
          <w:numId w:val="1"/>
        </w:numPr>
      </w:pPr>
      <w:r>
        <w:t>You have the right to lodge a complaint with the supervisory authority, i.e., the President of the Personal Data Protection Office, if you consider that the processing of your personal data by the Controller violates the provisions of the GDPR.</w:t>
      </w:r>
    </w:p>
    <w:p w14:paraId="4D48A1E8" w14:textId="77777777" w:rsidR="004B53CD" w:rsidRDefault="004B53CD" w:rsidP="004B53CD">
      <w:pPr>
        <w:pStyle w:val="NormalnyWeb"/>
        <w:numPr>
          <w:ilvl w:val="0"/>
          <w:numId w:val="1"/>
        </w:numPr>
      </w:pPr>
      <w:r>
        <w:t xml:space="preserve">Providing personal data for the purposes of the Controller’s legitimate interests is voluntary; however, refusal to provide data, depending on the role performed by you, may result in the impossibility of concluding a contract between the Controller and the Controller’s contractor, refusal to perform or improper performance of such a contract. </w:t>
      </w:r>
      <w:r>
        <w:lastRenderedPageBreak/>
        <w:t>Providing data for purposes arising from legal regulations is obligatory on the basis of the cited legal provisions. Providing personal data in other cases is voluntary.</w:t>
      </w:r>
    </w:p>
    <w:p w14:paraId="24B9EAB1" w14:textId="77777777" w:rsidR="006E3DA3" w:rsidRDefault="006E3DA3"/>
    <w:sectPr w:rsidR="006E3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D46F0"/>
    <w:multiLevelType w:val="multilevel"/>
    <w:tmpl w:val="725E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E0722"/>
    <w:multiLevelType w:val="multilevel"/>
    <w:tmpl w:val="9BBAA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9545568">
    <w:abstractNumId w:val="0"/>
  </w:num>
  <w:num w:numId="2" w16cid:durableId="18279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CD"/>
    <w:rsid w:val="004B53CD"/>
    <w:rsid w:val="006E3DA3"/>
    <w:rsid w:val="00A777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53E5D"/>
  <w15:chartTrackingRefBased/>
  <w15:docId w15:val="{F0A79E27-12C6-4463-B628-42734E65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B5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B5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B53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B53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B53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B53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53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53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53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53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B53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B53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B53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B53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B53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53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53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53CD"/>
    <w:rPr>
      <w:rFonts w:eastAsiaTheme="majorEastAsia" w:cstheme="majorBidi"/>
      <w:color w:val="272727" w:themeColor="text1" w:themeTint="D8"/>
    </w:rPr>
  </w:style>
  <w:style w:type="paragraph" w:styleId="Tytu">
    <w:name w:val="Title"/>
    <w:basedOn w:val="Normalny"/>
    <w:next w:val="Normalny"/>
    <w:link w:val="TytuZnak"/>
    <w:uiPriority w:val="10"/>
    <w:qFormat/>
    <w:rsid w:val="004B5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53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53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53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53CD"/>
    <w:pPr>
      <w:spacing w:before="160"/>
      <w:jc w:val="center"/>
    </w:pPr>
    <w:rPr>
      <w:i/>
      <w:iCs/>
      <w:color w:val="404040" w:themeColor="text1" w:themeTint="BF"/>
    </w:rPr>
  </w:style>
  <w:style w:type="character" w:customStyle="1" w:styleId="CytatZnak">
    <w:name w:val="Cytat Znak"/>
    <w:basedOn w:val="Domylnaczcionkaakapitu"/>
    <w:link w:val="Cytat"/>
    <w:uiPriority w:val="29"/>
    <w:rsid w:val="004B53CD"/>
    <w:rPr>
      <w:i/>
      <w:iCs/>
      <w:color w:val="404040" w:themeColor="text1" w:themeTint="BF"/>
    </w:rPr>
  </w:style>
  <w:style w:type="paragraph" w:styleId="Akapitzlist">
    <w:name w:val="List Paragraph"/>
    <w:basedOn w:val="Normalny"/>
    <w:uiPriority w:val="34"/>
    <w:qFormat/>
    <w:rsid w:val="004B53CD"/>
    <w:pPr>
      <w:ind w:left="720"/>
      <w:contextualSpacing/>
    </w:pPr>
  </w:style>
  <w:style w:type="character" w:styleId="Wyrnienieintensywne">
    <w:name w:val="Intense Emphasis"/>
    <w:basedOn w:val="Domylnaczcionkaakapitu"/>
    <w:uiPriority w:val="21"/>
    <w:qFormat/>
    <w:rsid w:val="004B53CD"/>
    <w:rPr>
      <w:i/>
      <w:iCs/>
      <w:color w:val="0F4761" w:themeColor="accent1" w:themeShade="BF"/>
    </w:rPr>
  </w:style>
  <w:style w:type="paragraph" w:styleId="Cytatintensywny">
    <w:name w:val="Intense Quote"/>
    <w:basedOn w:val="Normalny"/>
    <w:next w:val="Normalny"/>
    <w:link w:val="CytatintensywnyZnak"/>
    <w:uiPriority w:val="30"/>
    <w:qFormat/>
    <w:rsid w:val="004B5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B53CD"/>
    <w:rPr>
      <w:i/>
      <w:iCs/>
      <w:color w:val="0F4761" w:themeColor="accent1" w:themeShade="BF"/>
    </w:rPr>
  </w:style>
  <w:style w:type="character" w:styleId="Odwoanieintensywne">
    <w:name w:val="Intense Reference"/>
    <w:basedOn w:val="Domylnaczcionkaakapitu"/>
    <w:uiPriority w:val="32"/>
    <w:qFormat/>
    <w:rsid w:val="004B53CD"/>
    <w:rPr>
      <w:b/>
      <w:bCs/>
      <w:smallCaps/>
      <w:color w:val="0F4761" w:themeColor="accent1" w:themeShade="BF"/>
      <w:spacing w:val="5"/>
    </w:rPr>
  </w:style>
  <w:style w:type="character" w:styleId="Hipercze">
    <w:name w:val="Hyperlink"/>
    <w:basedOn w:val="Domylnaczcionkaakapitu"/>
    <w:uiPriority w:val="99"/>
    <w:unhideWhenUsed/>
    <w:rsid w:val="004B53CD"/>
    <w:rPr>
      <w:color w:val="467886" w:themeColor="hyperlink"/>
      <w:u w:val="single"/>
    </w:rPr>
  </w:style>
  <w:style w:type="character" w:styleId="Nierozpoznanawzmianka">
    <w:name w:val="Unresolved Mention"/>
    <w:basedOn w:val="Domylnaczcionkaakapitu"/>
    <w:uiPriority w:val="99"/>
    <w:semiHidden/>
    <w:unhideWhenUsed/>
    <w:rsid w:val="004B53CD"/>
    <w:rPr>
      <w:color w:val="605E5C"/>
      <w:shd w:val="clear" w:color="auto" w:fill="E1DFDD"/>
    </w:rPr>
  </w:style>
  <w:style w:type="paragraph" w:styleId="NormalnyWeb">
    <w:name w:val="Normal (Web)"/>
    <w:basedOn w:val="Normalny"/>
    <w:uiPriority w:val="99"/>
    <w:semiHidden/>
    <w:unhideWhenUsed/>
    <w:rsid w:val="004B53C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3073">
      <w:bodyDiv w:val="1"/>
      <w:marLeft w:val="0"/>
      <w:marRight w:val="0"/>
      <w:marTop w:val="0"/>
      <w:marBottom w:val="0"/>
      <w:divBdr>
        <w:top w:val="none" w:sz="0" w:space="0" w:color="auto"/>
        <w:left w:val="none" w:sz="0" w:space="0" w:color="auto"/>
        <w:bottom w:val="none" w:sz="0" w:space="0" w:color="auto"/>
        <w:right w:val="none" w:sz="0" w:space="0" w:color="auto"/>
      </w:divBdr>
    </w:div>
    <w:div w:id="269355528">
      <w:bodyDiv w:val="1"/>
      <w:marLeft w:val="0"/>
      <w:marRight w:val="0"/>
      <w:marTop w:val="0"/>
      <w:marBottom w:val="0"/>
      <w:divBdr>
        <w:top w:val="none" w:sz="0" w:space="0" w:color="auto"/>
        <w:left w:val="none" w:sz="0" w:space="0" w:color="auto"/>
        <w:bottom w:val="none" w:sz="0" w:space="0" w:color="auto"/>
        <w:right w:val="none" w:sz="0" w:space="0" w:color="auto"/>
      </w:divBdr>
    </w:div>
    <w:div w:id="365523603">
      <w:bodyDiv w:val="1"/>
      <w:marLeft w:val="0"/>
      <w:marRight w:val="0"/>
      <w:marTop w:val="0"/>
      <w:marBottom w:val="0"/>
      <w:divBdr>
        <w:top w:val="none" w:sz="0" w:space="0" w:color="auto"/>
        <w:left w:val="none" w:sz="0" w:space="0" w:color="auto"/>
        <w:bottom w:val="none" w:sz="0" w:space="0" w:color="auto"/>
        <w:right w:val="none" w:sz="0" w:space="0" w:color="auto"/>
      </w:divBdr>
    </w:div>
    <w:div w:id="560136727">
      <w:bodyDiv w:val="1"/>
      <w:marLeft w:val="0"/>
      <w:marRight w:val="0"/>
      <w:marTop w:val="0"/>
      <w:marBottom w:val="0"/>
      <w:divBdr>
        <w:top w:val="none" w:sz="0" w:space="0" w:color="auto"/>
        <w:left w:val="none" w:sz="0" w:space="0" w:color="auto"/>
        <w:bottom w:val="none" w:sz="0" w:space="0" w:color="auto"/>
        <w:right w:val="none" w:sz="0" w:space="0" w:color="auto"/>
      </w:divBdr>
    </w:div>
    <w:div w:id="676201280">
      <w:bodyDiv w:val="1"/>
      <w:marLeft w:val="0"/>
      <w:marRight w:val="0"/>
      <w:marTop w:val="0"/>
      <w:marBottom w:val="0"/>
      <w:divBdr>
        <w:top w:val="none" w:sz="0" w:space="0" w:color="auto"/>
        <w:left w:val="none" w:sz="0" w:space="0" w:color="auto"/>
        <w:bottom w:val="none" w:sz="0" w:space="0" w:color="auto"/>
        <w:right w:val="none" w:sz="0" w:space="0" w:color="auto"/>
      </w:divBdr>
    </w:div>
    <w:div w:id="102205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hrona.danych@novol.com" TargetMode="External"/><Relationship Id="rId5" Type="http://schemas.openxmlformats.org/officeDocument/2006/relationships/hyperlink" Target="mailto:ochrona.danych@novo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1670</Words>
  <Characters>9315</Characters>
  <Application>Microsoft Office Word</Application>
  <DocSecurity>0</DocSecurity>
  <Lines>144</Lines>
  <Paragraphs>15</Paragraphs>
  <ScaleCrop>false</ScaleCrop>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Andrukhiv</dc:creator>
  <cp:keywords/>
  <dc:description/>
  <cp:lastModifiedBy>Mariia Andrukhiv</cp:lastModifiedBy>
  <cp:revision>1</cp:revision>
  <dcterms:created xsi:type="dcterms:W3CDTF">2025-06-12T10:36:00Z</dcterms:created>
  <dcterms:modified xsi:type="dcterms:W3CDTF">2025-06-12T10:38:00Z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27fa617d-335f-4b42-9b3c-5d5ff747aa98</vt:lpwstr>
  </property>
</Properties>
</file>